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0" w:type="dxa"/>
        <w:jc w:val="center"/>
        <w:tblLook w:val="01E0" w:firstRow="1" w:lastRow="1" w:firstColumn="1" w:lastColumn="1" w:noHBand="0" w:noVBand="0"/>
      </w:tblPr>
      <w:tblGrid>
        <w:gridCol w:w="8790"/>
      </w:tblGrid>
      <w:tr w:rsidR="00C70AA4" w:rsidRPr="00C70AA4" w:rsidTr="00355AF8">
        <w:trPr>
          <w:trHeight w:val="480"/>
          <w:jc w:val="center"/>
        </w:trPr>
        <w:tc>
          <w:tcPr>
            <w:tcW w:w="8790" w:type="dxa"/>
            <w:vAlign w:val="center"/>
            <w:hideMark/>
          </w:tcPr>
          <w:p w:rsidR="00C70AA4" w:rsidRPr="00C70AA4" w:rsidRDefault="00C70AA4" w:rsidP="00C70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tr-TR"/>
              </w:rPr>
            </w:pPr>
          </w:p>
        </w:tc>
      </w:tr>
      <w:tr w:rsidR="00C70AA4" w:rsidRPr="00C70AA4" w:rsidTr="00355AF8">
        <w:trPr>
          <w:trHeight w:val="480"/>
          <w:jc w:val="center"/>
        </w:trPr>
        <w:tc>
          <w:tcPr>
            <w:tcW w:w="8790" w:type="dxa"/>
            <w:vAlign w:val="center"/>
            <w:hideMark/>
          </w:tcPr>
          <w:p w:rsidR="00C70AA4" w:rsidRDefault="00FD39EA" w:rsidP="00C70AA4">
            <w:pPr>
              <w:spacing w:before="56" w:after="226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TÜKETİCİ HAKEM HEYETİ RAPORTÖR</w:t>
            </w:r>
            <w:r w:rsidR="005E7E80" w:rsidRPr="005E7E8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LÜĞÜ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YÖNETMELİĞİ</w:t>
            </w:r>
          </w:p>
          <w:p w:rsidR="005E7E80" w:rsidRPr="00C70AA4" w:rsidRDefault="005E7E80" w:rsidP="00C70AA4">
            <w:pPr>
              <w:spacing w:before="56" w:after="226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p w:rsidR="00FD39EA" w:rsidRPr="00C70AA4" w:rsidRDefault="00C70AA4" w:rsidP="00C70AA4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BİRİNCİ BÖLÜM</w:t>
            </w:r>
          </w:p>
          <w:p w:rsidR="00C70AA4" w:rsidRDefault="00C70AA4" w:rsidP="00C70AA4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Amaç, Kapsam, Dayanak ve Tanımlar</w:t>
            </w:r>
          </w:p>
          <w:p w:rsidR="00C70AA4" w:rsidRP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Amaç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1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(1) Bu Yönetmeliğin amacı, </w:t>
            </w:r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hakem heyeti </w:t>
            </w:r>
            <w:proofErr w:type="gramStart"/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raportörlerinin</w:t>
            </w:r>
            <w:proofErr w:type="gramEnd"/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12606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nitelikleri,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görev, yetki ve sorumlulukları ile çalışma usul ve esaslarını düzenlemektir.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Kapsam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2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(1) Bu Yönetmelik hükümleri, </w:t>
            </w:r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tüketici hakem heyetlerinde</w:t>
            </w:r>
            <w:r w:rsidR="005E7E80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görev yapan </w:t>
            </w:r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hakem heyeti </w:t>
            </w:r>
            <w:proofErr w:type="gramStart"/>
            <w:r w:rsidR="005E7E8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raportörlerini</w:t>
            </w:r>
            <w:proofErr w:type="gramEnd"/>
            <w:r w:rsidR="005E7E80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kapsar.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Dayanak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3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(1) Bu Yönetmelik, </w:t>
            </w:r>
            <w:proofErr w:type="gramStart"/>
            <w:r w:rsidR="00FD39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/</w:t>
            </w:r>
            <w:r w:rsidR="00FD39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11/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201</w:t>
            </w:r>
            <w:r w:rsidR="00FD39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3</w:t>
            </w:r>
            <w:proofErr w:type="gramEnd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tarihli ve </w:t>
            </w:r>
            <w:r w:rsidR="00FD39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6502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sayılı </w:t>
            </w:r>
            <w:r w:rsidR="00FD39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Tüketicinin Korunması Hakkında Kanunun 6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67,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68,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69,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70,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6461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71,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02A5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72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84 ve 85</w:t>
            </w:r>
            <w:r w:rsidR="00D02A5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inci</w:t>
            </w:r>
            <w:r w:rsidR="00D02A5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maddeler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ine dayanılarak hazırlanmıştır.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Tanımlar</w:t>
            </w:r>
          </w:p>
          <w:p w:rsidR="00C70AA4" w:rsidRP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4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(1) Bu Yönetmelikte geçen;</w:t>
            </w:r>
          </w:p>
          <w:p w:rsidR="00C70AA4" w:rsidRP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a) Bakan: Gümrük ve Ticaret Bakanını,</w:t>
            </w:r>
          </w:p>
          <w:p w:rsidR="00DD4042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b) Bakanlık: Gümrük ve Ticaret Bakanlığını,</w:t>
            </w:r>
          </w:p>
          <w:p w:rsidR="00DD4042" w:rsidRDefault="00676CBF" w:rsidP="00DD4042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c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  <w:r w:rsidR="00DD40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Genel Müdürlük: Tüketicinin Korunması ve Piyasa 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Gözetimi Genel Müdürlü</w:t>
            </w:r>
            <w:r w:rsidR="009732D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ğünü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</w:p>
          <w:p w:rsidR="00794015" w:rsidRPr="00C70AA4" w:rsidRDefault="00676CBF" w:rsidP="007940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</w:t>
            </w:r>
            <w:r w:rsid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İl Müdürlüğü: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Bakanlık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Ticaret İl M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dürlüğünü,</w:t>
            </w:r>
          </w:p>
          <w:p w:rsidR="00794015" w:rsidRPr="00C70AA4" w:rsidRDefault="00676CBF" w:rsidP="007940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İl Müdürü: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Bakanlık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C5EC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Ticaret İl M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üdürünü</w:t>
            </w:r>
            <w:r w:rsidR="00794015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</w:p>
          <w:p w:rsidR="001810F3" w:rsidRDefault="00676CBF" w:rsidP="009732D1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</w:t>
            </w:r>
            <w:r w:rsidR="0079401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  <w:r w:rsidR="00DD40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="0004597C" w:rsidRPr="0079401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aportör: 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</w:t>
            </w:r>
            <w:r w:rsidR="0004597C" w:rsidRPr="0079401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hakem heyeti raportörü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kadrosunda bulunan veya </w:t>
            </w:r>
            <w:proofErr w:type="gramStart"/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proofErr w:type="gramEnd"/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olarak görevlendirilen personeli,</w:t>
            </w:r>
          </w:p>
          <w:p w:rsidR="00794015" w:rsidRDefault="00676CBF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f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</w:t>
            </w:r>
            <w:r w:rsidR="0004597C" w:rsidRPr="0079401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Hakem Heyeti: 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</w:t>
            </w:r>
            <w:r w:rsidR="0004597C" w:rsidRPr="00676CB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üketici i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şlemleri ile tüketiciye yönelik uygulamalardan </w:t>
            </w:r>
            <w:r w:rsidR="0004597C" w:rsidRPr="00676CB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doğabilecek uyuşmazlıklara çözüm bulmak amacıyla </w:t>
            </w:r>
            <w:r w:rsidR="0004597C" w:rsidRPr="0079401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 veya ilçe merk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ezlerinde oluşturulan heyeti,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ifade</w:t>
            </w:r>
            <w:proofErr w:type="gramEnd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eder.</w:t>
            </w:r>
          </w:p>
          <w:p w:rsidR="00C40E8E" w:rsidRPr="00C70AA4" w:rsidRDefault="00C40E8E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FB03A6" w:rsidRDefault="00B17620" w:rsidP="00FB03A6">
            <w:pPr>
              <w:spacing w:before="56"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İKİNCİ</w:t>
            </w:r>
            <w:r w:rsidR="003758D1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FB03A6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BÖLÜM</w:t>
            </w:r>
          </w:p>
          <w:p w:rsidR="00C70AA4" w:rsidRDefault="00AA00FD" w:rsidP="00C70AA4">
            <w:pPr>
              <w:spacing w:after="56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Raportörlerin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B1762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Nitelikleri ve Atanması</w:t>
            </w:r>
          </w:p>
          <w:p w:rsidR="00B17620" w:rsidRPr="00E27239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Raportörlerin </w:t>
            </w:r>
            <w:r w:rsidR="000528A5"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n</w:t>
            </w:r>
            <w:r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itelikleri</w:t>
            </w:r>
          </w:p>
          <w:p w:rsidR="00700839" w:rsidRPr="00E27239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0528A5"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5</w:t>
            </w:r>
            <w:r w:rsidRPr="00E2723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="00DD4042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 w:rsidR="00700839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aportör</w:t>
            </w:r>
            <w:r w:rsidR="00700839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kadrosuna atanabilmek için,</w:t>
            </w:r>
          </w:p>
          <w:p w:rsidR="00B17620" w:rsidRPr="00E27239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a)</w:t>
            </w:r>
            <w:r w:rsidR="00700839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Üniversitelerin en az dört yıllık öğretim veren hukuk, siyasal bilgiler, iktisat, işletme</w:t>
            </w:r>
            <w:r w:rsidR="006A605F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iktisadi ve idari bilimler fakülteleri ile adalet meslek yüksekokulu, </w:t>
            </w:r>
            <w:r w:rsidR="006A605F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yüksekokulların adalet</w:t>
            </w:r>
            <w:r w:rsidR="00B82A8C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, bankacılık ve sigortacılık </w:t>
            </w:r>
            <w:r w:rsidR="006A605F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program</w:t>
            </w:r>
            <w:r w:rsidR="00B82A8C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lar</w:t>
            </w:r>
            <w:r w:rsidR="006A605F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ı, adalet ön lisans programı</w:t>
            </w:r>
            <w:r w:rsidR="00B82A8C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="006A605F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ya da bunlara denkliği Yükseköğretim Kurulunca kabul edilen yurt içi veya </w:t>
            </w:r>
            <w:r w:rsidR="00700839"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yurt </w:t>
            </w: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dışındaki öğretim kurumlarını bitirmiş olmak,</w:t>
            </w:r>
          </w:p>
          <w:p w:rsidR="006A605F" w:rsidRDefault="00B17620" w:rsidP="006A605F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E272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b) Sınavın yapıldığı tarihte otuz beş yaşını doldurmamış</w:t>
            </w:r>
            <w:r w:rsidRPr="006B37F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olmak</w:t>
            </w:r>
            <w:r w:rsidR="0070083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</w:p>
          <w:p w:rsidR="00700839" w:rsidRDefault="00700839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gerekir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.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 xml:space="preserve">Raportörlerin </w:t>
            </w:r>
            <w:r w:rsidR="000528A5"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>tanması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 xml:space="preserve">MADDE </w:t>
            </w:r>
            <w:r w:rsidR="000528A5"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>6</w:t>
            </w:r>
            <w:r w:rsidRPr="003F4BC8"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–</w:t>
            </w:r>
            <w:r w:rsidR="00DD4042">
              <w:rPr>
                <w:rFonts w:ascii="Times New Roman" w:eastAsia="ヒラギノ明朝 Pro W3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4BC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(1) Bu Yönetmelik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kapsamında ilk </w:t>
            </w:r>
            <w:r w:rsidR="001E0E7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defa atanacak olan </w:t>
            </w:r>
            <w:proofErr w:type="gramStart"/>
            <w:r w:rsidR="001E0E7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raportörler</w:t>
            </w:r>
            <w:proofErr w:type="gramEnd"/>
            <w:r w:rsidR="001E0E7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Gümrük v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 Ticaret Bakanlığına İlk Defa Yapılacak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Atamalar Hakkında Yönetmelik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hükümleri doğrultusunda </w:t>
            </w:r>
            <w:r w:rsidR="000528A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işe alınır.</w:t>
            </w:r>
          </w:p>
          <w:p w:rsidR="000528A5" w:rsidRDefault="000528A5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(2)</w:t>
            </w:r>
            <w:r>
              <w:t xml:space="preserve"> </w:t>
            </w:r>
            <w:r w:rsidRPr="006A605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Bakanlık, atama yapılacak kadro sayısını, ihtiyaç durumuna göre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bu Yönetmeliğin 5 inci maddesinin</w:t>
            </w:r>
            <w:r w:rsidRPr="006A605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birinci fıkra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sı</w:t>
            </w:r>
            <w:r w:rsidRPr="006A605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nın (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6A605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 bendinde sayılan alanlar a</w:t>
            </w:r>
            <w:r w:rsidR="001E0E7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rasından öğrenim dalları itibariyle</w:t>
            </w:r>
            <w:r w:rsidRPr="006A605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ayrı ayrı belirleyebilir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.</w:t>
            </w:r>
          </w:p>
          <w:p w:rsidR="0006763E" w:rsidRDefault="00744D2F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(3) </w:t>
            </w:r>
            <w:r w:rsidR="0006763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İl ve ilçe merkezlerinde görev yapacak </w:t>
            </w:r>
            <w:r w:rsidR="00E729A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kadrolu </w:t>
            </w:r>
            <w:proofErr w:type="gramStart"/>
            <w:r w:rsidR="0006763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aportör</w:t>
            </w:r>
            <w:r w:rsidR="0006763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lerin</w:t>
            </w:r>
            <w:proofErr w:type="gramEnd"/>
            <w:r w:rsidR="0006763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sayısı Genel Müdürlük tarafından belirlenir.</w:t>
            </w:r>
          </w:p>
          <w:p w:rsidR="0006763E" w:rsidRDefault="0006763E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(4) </w:t>
            </w:r>
            <w:r w:rsidR="00496BE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Kadrolu </w:t>
            </w:r>
            <w:proofErr w:type="gramStart"/>
            <w:r w:rsidR="00496BE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aportörlerin</w:t>
            </w:r>
            <w:proofErr w:type="gramEnd"/>
            <w:r w:rsidR="00DD40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hangi tüketici hakem heyetinde görev yapacağı hususu Bakanlı</w:t>
            </w:r>
            <w:r w:rsidR="00496BE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tarafından belirlenir.</w:t>
            </w:r>
          </w:p>
          <w:p w:rsidR="006A66EF" w:rsidRDefault="006A66EF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(5) Raportörlerin atanmasında, </w:t>
            </w:r>
            <w:r w:rsidRPr="006A66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Gümrük ve Ticaret Bakanlığına İlk Defa Yapılacak Atamalar Hakkında Yönetmeli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ğin 17 </w:t>
            </w:r>
            <w:proofErr w:type="spell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nci</w:t>
            </w:r>
            <w:proofErr w:type="spell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maddesi hükümleri uygulanmaz.</w:t>
            </w:r>
          </w:p>
          <w:p w:rsidR="00B17620" w:rsidRPr="0069153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 xml:space="preserve">Raportör </w:t>
            </w:r>
            <w:r w:rsidR="000528A5"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ol</w:t>
            </w:r>
            <w:r w:rsidR="000528A5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arak </w:t>
            </w:r>
            <w:r w:rsidR="000528A5"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</w:t>
            </w:r>
            <w:r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örevlendir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ilme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7</w:t>
            </w:r>
            <w:r w:rsidRPr="0069153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69153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(1) Raportör sayısının yeterli olmadığı illerde ticaret il müdürü tarafından ticaret il müdürlüğü personeli arasından, ilçelerde ise kaym</w:t>
            </w:r>
            <w:r w:rsidR="000528A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akam tarafından ilçede görevli d</w:t>
            </w:r>
            <w:r w:rsidRPr="0069153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evlet memurları arasından en az bir asil bir yedek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olmak üzere </w:t>
            </w:r>
            <w:r w:rsidRPr="0069153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yeterli sayıda </w:t>
            </w:r>
            <w:proofErr w:type="gramStart"/>
            <w:r w:rsidRPr="0069153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proofErr w:type="gramEnd"/>
            <w:r w:rsidRPr="0069153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görevlendirilir.</w:t>
            </w:r>
          </w:p>
          <w:p w:rsidR="00E729A3" w:rsidRDefault="00E729A3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(2)</w:t>
            </w:r>
            <w:r w:rsid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hakem heyetlerinde birden fazla </w:t>
            </w:r>
            <w:proofErr w:type="gramStart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raportörün</w:t>
            </w:r>
            <w:proofErr w:type="gramEnd"/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görevlendirilmesine ihtiyaç duyulması halinde Bakanlığın görüşü alınarak, bu maddenin birinci fıkrası hükümleri çerçevesinde görevlendirme yapılır.</w:t>
            </w:r>
          </w:p>
          <w:p w:rsidR="00E729A3" w:rsidRDefault="00E729A3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(3) Raportör olarak görevlendirilen personele ilişkin bilgiler ve değişiklikler tüketici hakem heyeti başkanlığınca Genel Müdürlüğe </w:t>
            </w:r>
            <w:r w:rsidR="00DD40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derhal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bildirilir.</w:t>
            </w:r>
          </w:p>
          <w:p w:rsidR="00B17620" w:rsidRPr="00691534" w:rsidRDefault="00E729A3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(4</w:t>
            </w:r>
            <w:r w:rsidR="00B1762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Görevlendirilecek olan </w:t>
            </w:r>
            <w:proofErr w:type="gramStart"/>
            <w:r w:rsidR="00B1762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="00B17620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aportörün</w:t>
            </w:r>
            <w:proofErr w:type="gramEnd"/>
            <w:r w:rsidR="00B17620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yüksek</w:t>
            </w:r>
            <w:r w:rsidR="000F4E0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görmüş olması esastır. Y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üksek</w:t>
            </w:r>
            <w:r w:rsidR="00B17620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görmüş kişinin bulunmaması halinde lise veya denkliği Milli Eğitim Bakanlığınca kabul edilen eğitim kurumlarından birini bitirmiş kişiler arasından görevlendirilir.</w:t>
            </w:r>
          </w:p>
          <w:p w:rsidR="00C70AA4" w:rsidRPr="00DA4D12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DA4D1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İdari bağlılık</w:t>
            </w:r>
          </w:p>
          <w:p w:rsidR="00DA4D12" w:rsidRPr="00DA4D12" w:rsidRDefault="003F4BC8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C77517" w:rsidRPr="00DA4D1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8</w:t>
            </w:r>
            <w:r w:rsidR="00C70AA4" w:rsidRPr="00DA4D1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C70AA4"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="00C70AA4" w:rsidRPr="00DA4D1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C70AA4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(1)</w:t>
            </w:r>
            <w:r w:rsidR="00DA4D12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Raportörler il ve ilçe merkezlerinde kurulu bulunan tüketici hakem heyetlerinde istihdam edilirler. </w:t>
            </w:r>
          </w:p>
          <w:p w:rsidR="00C70AA4" w:rsidRPr="00DA4D12" w:rsidRDefault="00DA4D12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(2)</w:t>
            </w:r>
            <w:r w:rsidR="00C70AA4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</w:t>
            </w:r>
            <w:r w:rsidR="005F2528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lçe </w:t>
            </w:r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</w:t>
            </w:r>
            <w:r w:rsidR="005F2528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hakem heyetlerin</w:t>
            </w:r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de </w:t>
            </w:r>
            <w:proofErr w:type="gramStart"/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proofErr w:type="gramEnd"/>
            <w:r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kadrosuna atananlar,</w:t>
            </w:r>
            <w:r w:rsidR="005F2528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kaymakamlığa bağlı olarak çalışır</w:t>
            </w:r>
            <w:r w:rsidR="00B0313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lar</w:t>
            </w:r>
            <w:r w:rsidR="005F2528" w:rsidRPr="00DA4D1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. </w:t>
            </w:r>
          </w:p>
          <w:p w:rsidR="00C70AA4" w:rsidRDefault="00FB03A6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Raportörlerin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FD7EB9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görev</w:t>
            </w:r>
            <w:r w:rsidR="00FD7EB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ve 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yetkileri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D870EA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9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–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 w:rsid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Raportörlerin</w:t>
            </w:r>
            <w:r w:rsidR="00574BF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FD7EB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görev ve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yetki</w:t>
            </w:r>
            <w:r w:rsidR="00FD7EB9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ler</w:t>
            </w:r>
            <w:r w:rsidR="00574BF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şunlardır:</w:t>
            </w:r>
          </w:p>
          <w:p w:rsidR="006A469E" w:rsidRPr="006A469E" w:rsidRDefault="006A469E" w:rsidP="006A469E">
            <w:pPr>
              <w:pStyle w:val="ListeParagraf"/>
              <w:numPr>
                <w:ilvl w:val="0"/>
                <w:numId w:val="1"/>
              </w:num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Tüketici </w:t>
            </w:r>
            <w:r w:rsidR="00574BF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hakem heyetin</w:t>
            </w:r>
            <w:r w:rsidR="00E0276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</w:t>
            </w:r>
            <w:r w:rsidR="00574BF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E0276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yapılan başvuruları kabul etmek</w:t>
            </w:r>
            <w:r w:rsidR="00FA045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="00FB03A6" w:rsidRPr="006A469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</w:p>
          <w:p w:rsidR="00FB03A6" w:rsidRPr="00FB03A6" w:rsidRDefault="00FA045B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b) </w:t>
            </w:r>
            <w:r w:rsidR="00E0276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Başvuruya ilişkin dosya ve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rapor hazırlamak, </w:t>
            </w:r>
          </w:p>
          <w:p w:rsidR="00FB03A6" w:rsidRPr="00FB03A6" w:rsidRDefault="00FA045B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c</w:t>
            </w:r>
            <w:r w:rsidR="00FB03A6" w:rsidRPr="00FB03A6"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)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Toplantı gündemini 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hazırlamak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, </w:t>
            </w:r>
          </w:p>
          <w:p w:rsidR="00FB03A6" w:rsidRPr="00FB03A6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ç</w:t>
            </w:r>
            <w:r w:rsidR="00FB03A6" w:rsidRPr="00FB03A6"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)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Toplantılarda hazır bulunmak, </w:t>
            </w:r>
          </w:p>
          <w:p w:rsidR="00FB03A6" w:rsidRPr="00FB03A6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d</w:t>
            </w:r>
            <w:r w:rsidR="00FB03A6" w:rsidRPr="00FB03A6"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)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Toplantı tutanaklarını tutmak, </w:t>
            </w:r>
          </w:p>
          <w:p w:rsidR="00D870EA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e</w:t>
            </w:r>
            <w:r w:rsidR="00FB03A6" w:rsidRPr="00FB03A6">
              <w:rPr>
                <w:rFonts w:ascii="Times New Roman" w:eastAsia="ヒラギノ明朝 Pro W3" w:hAnsi="Times New Roman" w:cs="Times New Roman"/>
                <w:bCs/>
                <w:sz w:val="24"/>
                <w:szCs w:val="24"/>
              </w:rPr>
              <w:t>)</w:t>
            </w:r>
            <w:r w:rsidR="00FB03A6" w:rsidRPr="00FB03A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Evrak ve arşiv işlerini yürütmek,</w:t>
            </w:r>
          </w:p>
          <w:p w:rsidR="00D870EA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f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 Tüketici h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akem heyetinin faaliyet raporu ve istatistiklerini hazırlamak,</w:t>
            </w:r>
          </w:p>
          <w:p w:rsidR="00D870EA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 Tüketici hakem heyeti</w:t>
            </w:r>
            <w:r w:rsidR="007F25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nin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b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aşkan, üye ve </w:t>
            </w:r>
            <w:proofErr w:type="gramStart"/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proofErr w:type="gramEnd"/>
            <w:r w:rsidR="007F25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olarak görevlendirilen diğer kamu personeli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</w:t>
            </w:r>
            <w:r w:rsidR="007F25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 ödenecek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huzur hakkı ve üc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retlerine ilişkin işlemleri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yapmak,</w:t>
            </w:r>
          </w:p>
          <w:p w:rsidR="00D870EA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ğ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Başvurulara ilişkin gerekli yazışmaları yapmak,</w:t>
            </w:r>
          </w:p>
          <w:p w:rsidR="00D870EA" w:rsidRDefault="00794015" w:rsidP="00FB03A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) Tüketici </w:t>
            </w:r>
            <w:r w:rsidR="002A70D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hakem heyetlerinin ödenek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 demirbaş vb. mali işlemleri</w:t>
            </w:r>
            <w:r w:rsidR="00E836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ni</w:t>
            </w:r>
            <w:r w:rsidR="00D870EA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yapmak, </w:t>
            </w:r>
          </w:p>
          <w:p w:rsidR="0063766F" w:rsidRPr="00C70AA4" w:rsidRDefault="0063766F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Tüketici hakem heyetlerinin işleyiş</w:t>
            </w:r>
            <w:r w:rsidR="0039452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ine ilişkin diğer işleri yapmak</w:t>
            </w:r>
            <w:r w:rsidR="00F434C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.</w:t>
            </w:r>
          </w:p>
          <w:p w:rsidR="00AA6A26" w:rsidRPr="00C70AA4" w:rsidRDefault="00B565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(2) </w:t>
            </w:r>
            <w:r w:rsidR="00AA6A26" w:rsidRPr="00AA6A2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Toplantılarda </w:t>
            </w:r>
            <w:proofErr w:type="gramStart"/>
            <w:r w:rsidR="00AA6A26" w:rsidRPr="00AA6A2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raportörün</w:t>
            </w:r>
            <w:proofErr w:type="gramEnd"/>
            <w:r w:rsidR="00AA6A26" w:rsidRPr="00AA6A26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oy hakkı yoktur.</w:t>
            </w:r>
          </w:p>
          <w:p w:rsidR="00C70AA4" w:rsidRDefault="00AA6A26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Raportörlerin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sorumlulukları</w:t>
            </w:r>
          </w:p>
          <w:p w:rsidR="00C70AA4" w:rsidRDefault="00AA6A26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D870EA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10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C70AA4"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(1)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Raportörlerin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sorumlulukları şunlardır:</w:t>
            </w:r>
          </w:p>
          <w:p w:rsidR="008D4678" w:rsidRDefault="00AA6A26" w:rsidP="008D467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 İlgili mevzuat gereğince kendilerine verilen görevleri eksiksiz ve zamanında yerine getirmek,</w:t>
            </w:r>
            <w:r w:rsidR="008D467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</w:p>
          <w:p w:rsidR="00C70AA4" w:rsidRDefault="008D4678" w:rsidP="008D467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b) Dosyaya ilişkin tüm bilgilerin gizliliğine riayet etmek, </w:t>
            </w:r>
          </w:p>
          <w:p w:rsidR="008D4678" w:rsidRDefault="008D4678" w:rsidP="00B17620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p w:rsidR="00495A4D" w:rsidRDefault="00495A4D" w:rsidP="00B17620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p w:rsidR="00B17620" w:rsidRDefault="00B17620" w:rsidP="00B17620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ÜÇÜNCÜ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BÖLÜM</w:t>
            </w:r>
          </w:p>
          <w:p w:rsidR="00B17620" w:rsidRDefault="00B17620" w:rsidP="00B17620">
            <w:pPr>
              <w:spacing w:after="56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Tüketici Hakem Heyeti Raportörlerinin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Yetiştirilmesi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Yetiştirilme ilkeleri</w:t>
            </w:r>
          </w:p>
          <w:p w:rsidR="0028609D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11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olarak atananlar bu kadroda bulundukları sürece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mesleğin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gerektirdiği bilgi, beceri ve etik değerleri kazanmaları amacıyla mesleki temel eğitimden geçirilir.</w:t>
            </w:r>
          </w:p>
          <w:p w:rsidR="00B17620" w:rsidRDefault="0028609D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(2) Mesleki temel eğitim;</w:t>
            </w:r>
          </w:p>
          <w:p w:rsidR="00B17620" w:rsidRPr="00C70AA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a) </w:t>
            </w:r>
            <w:r w:rsidR="00B33E3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üketici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mevzuatı ve bu mevzuatın uygulanmasına ilişkin bilgi ve becerilerin edinilmesini,</w:t>
            </w:r>
          </w:p>
          <w:p w:rsidR="00B17620" w:rsidRPr="00C70AA4" w:rsidRDefault="00B33E33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</w:t>
            </w:r>
            <w:r w:rsidR="00B17620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) Rapor yazma, araştırma ve inceleme teknikleri konularında gerekli bilgi ve yetene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ğin kazandırıl</w:t>
            </w:r>
            <w:r w:rsidR="00B17620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masını,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proofErr w:type="gramStart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sağlamaya</w:t>
            </w:r>
            <w:proofErr w:type="gramEnd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yönelik çalışmaları kapsar.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Raportörlerin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eğitimi</w:t>
            </w:r>
          </w:p>
          <w:p w:rsidR="00B17620" w:rsidRPr="00C70AA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12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–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olarak </w:t>
            </w:r>
            <w:r w:rsidRPr="005A3EA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atananların adaylık eğitimi</w:t>
            </w:r>
            <w:r w:rsidR="0073269C" w:rsidRPr="005A3EA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21/2/1983</w:t>
            </w:r>
            <w:proofErr w:type="gramEnd"/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tarihli ve 83/6061 sayılı Bakanlar Kurulu Kararı ile yürürlüğe konulan Aday Memurların Yetiştirilmelerine İlişkin Genel Yönetmelik hükümleri</w:t>
            </w:r>
            <w:r w:rsidR="0073269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çerçevesinde yapılır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.</w:t>
            </w:r>
          </w:p>
          <w:p w:rsidR="00B17620" w:rsidRPr="00C70AA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ler,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adaylık 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eğitiminin yanında temel hukuk ve tüketici mevzuatı ile 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lastRenderedPageBreak/>
              <w:t>ilgili olarak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süresi 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iki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aydan çok olmamak üzere</w:t>
            </w:r>
            <w:r w:rsidR="0007196B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mesleki temel eğitime tabi tutulur.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3724B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Bu e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ğitimin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içeriği</w:t>
            </w:r>
            <w:r w:rsidR="00DD404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,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Genel Müdürlüğün görüşü alınarak Bakanlık Eğitim</w:t>
            </w:r>
            <w:r w:rsidR="0007196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Dairesi Başkanlığınca belirlenir.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</w:p>
          <w:p w:rsidR="00B17620" w:rsidRPr="00C70AA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(3) Adayların mesleki temel eğitim kursunda başarılı olabilmeleri için, mesleki temel eğitim konularında yapılacak genel sınavdan yüz tam puan üzerinden en az yetmiş puan almaları zorunludur.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Hizmet içi eğitim</w:t>
            </w:r>
          </w:p>
          <w:p w:rsidR="00B17620" w:rsidRPr="00C70AA4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13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r, Genel Müdürlükçe uygun görülec</w:t>
            </w:r>
            <w:r w:rsidR="0041026D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ek zamanlarda hizmet içi eğitime tabi tutulurlar.</w:t>
            </w:r>
          </w:p>
          <w:p w:rsidR="00B17620" w:rsidRDefault="00B17620" w:rsidP="00B17620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(2)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Raportörle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in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hizmet içi eğitimleri Genel Müdürlük</w:t>
            </w:r>
            <w:r w:rsidR="00355A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koordinasyonunda gerçekleştirilir.</w:t>
            </w:r>
          </w:p>
          <w:p w:rsidR="00AA6A26" w:rsidRDefault="00AA6A26" w:rsidP="00C70AA4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</w:p>
          <w:p w:rsidR="00757A40" w:rsidRDefault="00757A40" w:rsidP="00C70AA4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0AA4" w:rsidRDefault="006C6BDA" w:rsidP="00C70AA4">
            <w:pPr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DÖRDÜNCÜ 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BÖLÜM</w:t>
            </w:r>
          </w:p>
          <w:p w:rsidR="00C70AA4" w:rsidRDefault="00DE6F4A" w:rsidP="00C70AA4">
            <w:pPr>
              <w:spacing w:after="56" w:line="240" w:lineRule="exact"/>
              <w:jc w:val="center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Diğer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Hükümler</w:t>
            </w:r>
          </w:p>
          <w:p w:rsidR="001810F3" w:rsidRPr="001810F3" w:rsidRDefault="001810F3" w:rsidP="001810F3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1810F3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Hüküm bulunmayan hususlar</w:t>
            </w:r>
          </w:p>
          <w:p w:rsidR="001810F3" w:rsidRDefault="001810F3" w:rsidP="0073335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794015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73335E" w:rsidRPr="00794015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14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–</w:t>
            </w:r>
            <w:r w:rsid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Bu Yönetmelikte hüküm bulunmayan hususlarda, 657 sayılı Devlet Memurları Kanunu ile </w:t>
            </w:r>
            <w:proofErr w:type="gramStart"/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18/</w:t>
            </w:r>
            <w:r w:rsidR="0004597C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0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3/2002</w:t>
            </w:r>
            <w:proofErr w:type="gramEnd"/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tarihli ve 2002/3975 sayılı Bakanlar Kurulu Kararı ile yürürlüğe konulan Kamu Görevlerine İlk Defa Atanacaklar İçin Yapılacak Sınavlar Hakkında Genel Yönetmelik hükümleri</w:t>
            </w:r>
            <w:r w:rsid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</w:t>
            </w:r>
            <w:r w:rsidR="0073335E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Gümrük ve Ticaret Bakanlığı</w:t>
            </w:r>
            <w:r w:rsidR="00D45A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na</w:t>
            </w:r>
            <w:r w:rsid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45AF8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İlk Defa Yapılacak</w:t>
            </w:r>
            <w:r w:rsidR="00D45A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="00D45AF8" w:rsidRPr="0073335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Atamalar Hakkında Yönetmelik</w:t>
            </w:r>
            <w:r w:rsidR="00D45AF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hükümleri</w:t>
            </w:r>
            <w:r w:rsidRPr="001810F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uygulanır.</w:t>
            </w:r>
          </w:p>
          <w:p w:rsidR="00D02A53" w:rsidRDefault="00D02A53" w:rsidP="003F4BC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Huzur Hakkı </w:t>
            </w:r>
          </w:p>
          <w:p w:rsidR="00D02A53" w:rsidRDefault="00D02A53" w:rsidP="003F4BC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6F51A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5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874353" w:rsidRPr="0087435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R</w:t>
            </w:r>
            <w:r w:rsidRPr="00D02A53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aportör olarak görevlendirilen diğer kamu personeline ödenecek huzur hakkı ile bu ödemelere ilişkin usul ve esaslar Maliye Bakanlığının uygun görüşü alınarak Bakanlıkça belirlenir.</w:t>
            </w:r>
          </w:p>
          <w:p w:rsidR="00311485" w:rsidRPr="003F4BC8" w:rsidRDefault="00311485" w:rsidP="003F4BC8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(2) Raportör kadrosuna atananlara huzur hakkı ödenmez.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Yürürlük</w:t>
            </w:r>
          </w:p>
          <w:p w:rsidR="00C70AA4" w:rsidRDefault="003F4BC8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6F51A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16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C70AA4"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–</w:t>
            </w:r>
            <w:r w:rsidR="00C70AA4"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="00C70AA4"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(1) Bu Yönetmelik yayımı tarihinde yürürlüğe girer.</w:t>
            </w:r>
          </w:p>
          <w:p w:rsid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Yürütme</w:t>
            </w:r>
          </w:p>
          <w:p w:rsidR="00C70AA4" w:rsidRPr="00C70AA4" w:rsidRDefault="00C70AA4" w:rsidP="00C70AA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MADDE </w:t>
            </w:r>
            <w:r w:rsidR="006F51A9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17</w:t>
            </w:r>
            <w:r w:rsidRPr="00C70AA4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 xml:space="preserve"> </w:t>
            </w:r>
            <w:r w:rsidRPr="008B13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– </w:t>
            </w:r>
            <w:r w:rsidRPr="00C70AA4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(1) Bu Yönetmelik hükümlerini Gümrük ve Ticaret Bakanı yürütür.</w:t>
            </w:r>
          </w:p>
          <w:p w:rsidR="00C70AA4" w:rsidRPr="00C70AA4" w:rsidRDefault="00C70AA4" w:rsidP="00C70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tr-TR"/>
              </w:rPr>
            </w:pPr>
          </w:p>
        </w:tc>
      </w:tr>
    </w:tbl>
    <w:p w:rsidR="00845461" w:rsidRPr="00C70AA4" w:rsidRDefault="00845461">
      <w:pPr>
        <w:rPr>
          <w:rFonts w:ascii="Times New Roman" w:hAnsi="Times New Roman" w:cs="Times New Roman"/>
          <w:sz w:val="24"/>
          <w:szCs w:val="24"/>
        </w:rPr>
      </w:pPr>
    </w:p>
    <w:sectPr w:rsidR="00845461" w:rsidRPr="00C70AA4" w:rsidSect="00B44E96"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3C1"/>
    <w:multiLevelType w:val="hybridMultilevel"/>
    <w:tmpl w:val="AD10AF3E"/>
    <w:lvl w:ilvl="0" w:tplc="AFD62BDA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37"/>
    <w:rsid w:val="00000A1A"/>
    <w:rsid w:val="0004597C"/>
    <w:rsid w:val="000528A5"/>
    <w:rsid w:val="00054A3E"/>
    <w:rsid w:val="0006763E"/>
    <w:rsid w:val="0007196B"/>
    <w:rsid w:val="000C6E57"/>
    <w:rsid w:val="000F4E00"/>
    <w:rsid w:val="00126066"/>
    <w:rsid w:val="00136C9E"/>
    <w:rsid w:val="0015453A"/>
    <w:rsid w:val="001810F3"/>
    <w:rsid w:val="001870BB"/>
    <w:rsid w:val="001C40FC"/>
    <w:rsid w:val="001E0E70"/>
    <w:rsid w:val="0027035D"/>
    <w:rsid w:val="0028609D"/>
    <w:rsid w:val="002A0D2B"/>
    <w:rsid w:val="002A70D8"/>
    <w:rsid w:val="00311485"/>
    <w:rsid w:val="00355AF8"/>
    <w:rsid w:val="003724B1"/>
    <w:rsid w:val="003758D1"/>
    <w:rsid w:val="00394523"/>
    <w:rsid w:val="003E5FA7"/>
    <w:rsid w:val="003F4BC8"/>
    <w:rsid w:val="0041026D"/>
    <w:rsid w:val="00495A4D"/>
    <w:rsid w:val="00496BE3"/>
    <w:rsid w:val="00574BF5"/>
    <w:rsid w:val="005805E5"/>
    <w:rsid w:val="005A3EAC"/>
    <w:rsid w:val="005A7639"/>
    <w:rsid w:val="005E7E80"/>
    <w:rsid w:val="005F2528"/>
    <w:rsid w:val="005F567A"/>
    <w:rsid w:val="00606B89"/>
    <w:rsid w:val="0063766F"/>
    <w:rsid w:val="006461B1"/>
    <w:rsid w:val="00676CBF"/>
    <w:rsid w:val="00691534"/>
    <w:rsid w:val="006A469E"/>
    <w:rsid w:val="006A605F"/>
    <w:rsid w:val="006A66EF"/>
    <w:rsid w:val="006B37FA"/>
    <w:rsid w:val="006B63B4"/>
    <w:rsid w:val="006C6BDA"/>
    <w:rsid w:val="006F51A9"/>
    <w:rsid w:val="00700839"/>
    <w:rsid w:val="007049D0"/>
    <w:rsid w:val="00715ACE"/>
    <w:rsid w:val="0073269C"/>
    <w:rsid w:val="0073335E"/>
    <w:rsid w:val="00744D2F"/>
    <w:rsid w:val="00757A40"/>
    <w:rsid w:val="00794015"/>
    <w:rsid w:val="007F25C0"/>
    <w:rsid w:val="00845461"/>
    <w:rsid w:val="008646ED"/>
    <w:rsid w:val="00874353"/>
    <w:rsid w:val="008B1365"/>
    <w:rsid w:val="008B6537"/>
    <w:rsid w:val="008D1E05"/>
    <w:rsid w:val="008D4678"/>
    <w:rsid w:val="00952938"/>
    <w:rsid w:val="00960936"/>
    <w:rsid w:val="009732D1"/>
    <w:rsid w:val="00983503"/>
    <w:rsid w:val="009D7614"/>
    <w:rsid w:val="009E074F"/>
    <w:rsid w:val="009E105D"/>
    <w:rsid w:val="009E73CF"/>
    <w:rsid w:val="00A32B08"/>
    <w:rsid w:val="00AA00FD"/>
    <w:rsid w:val="00AA6A26"/>
    <w:rsid w:val="00B01DBB"/>
    <w:rsid w:val="00B03136"/>
    <w:rsid w:val="00B12225"/>
    <w:rsid w:val="00B17620"/>
    <w:rsid w:val="00B33E33"/>
    <w:rsid w:val="00B44E96"/>
    <w:rsid w:val="00B565A4"/>
    <w:rsid w:val="00B82A8C"/>
    <w:rsid w:val="00BA7838"/>
    <w:rsid w:val="00BE40E3"/>
    <w:rsid w:val="00C377F0"/>
    <w:rsid w:val="00C40E8E"/>
    <w:rsid w:val="00C70AA4"/>
    <w:rsid w:val="00C77517"/>
    <w:rsid w:val="00C77CDE"/>
    <w:rsid w:val="00CC31B5"/>
    <w:rsid w:val="00D02A53"/>
    <w:rsid w:val="00D45AF8"/>
    <w:rsid w:val="00D870EA"/>
    <w:rsid w:val="00DA4D12"/>
    <w:rsid w:val="00DC5ECA"/>
    <w:rsid w:val="00DD4042"/>
    <w:rsid w:val="00DE6F4A"/>
    <w:rsid w:val="00E02760"/>
    <w:rsid w:val="00E27239"/>
    <w:rsid w:val="00E66168"/>
    <w:rsid w:val="00E729A3"/>
    <w:rsid w:val="00E83642"/>
    <w:rsid w:val="00ED26D4"/>
    <w:rsid w:val="00F434C7"/>
    <w:rsid w:val="00F4734B"/>
    <w:rsid w:val="00F47380"/>
    <w:rsid w:val="00FA045B"/>
    <w:rsid w:val="00FB03A6"/>
    <w:rsid w:val="00FD39EA"/>
    <w:rsid w:val="00FD7EB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03A6"/>
    <w:rPr>
      <w:b/>
      <w:bCs/>
    </w:rPr>
  </w:style>
  <w:style w:type="character" w:customStyle="1" w:styleId="grame">
    <w:name w:val="grame"/>
    <w:basedOn w:val="VarsaylanParagrafYazTipi"/>
    <w:rsid w:val="00FB03A6"/>
  </w:style>
  <w:style w:type="paragraph" w:styleId="ListeParagraf">
    <w:name w:val="List Paragraph"/>
    <w:basedOn w:val="Normal"/>
    <w:uiPriority w:val="34"/>
    <w:qFormat/>
    <w:rsid w:val="002A0D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B03A6"/>
    <w:rPr>
      <w:b/>
      <w:bCs/>
    </w:rPr>
  </w:style>
  <w:style w:type="character" w:customStyle="1" w:styleId="grame">
    <w:name w:val="grame"/>
    <w:basedOn w:val="VarsaylanParagrafYazTipi"/>
    <w:rsid w:val="00FB03A6"/>
  </w:style>
  <w:style w:type="paragraph" w:styleId="ListeParagraf">
    <w:name w:val="List Paragraph"/>
    <w:basedOn w:val="Normal"/>
    <w:uiPriority w:val="34"/>
    <w:qFormat/>
    <w:rsid w:val="002A0D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Biçer</dc:creator>
  <cp:lastModifiedBy>Erdem Biçer</cp:lastModifiedBy>
  <cp:revision>4</cp:revision>
  <cp:lastPrinted>2014-02-07T09:30:00Z</cp:lastPrinted>
  <dcterms:created xsi:type="dcterms:W3CDTF">2014-02-06T14:58:00Z</dcterms:created>
  <dcterms:modified xsi:type="dcterms:W3CDTF">2014-02-07T09:30:00Z</dcterms:modified>
</cp:coreProperties>
</file>